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A384" w14:textId="77777777" w:rsidR="005A156E" w:rsidRPr="007E3819" w:rsidRDefault="005A156E" w:rsidP="005A156E">
      <w:pPr>
        <w:jc w:val="center"/>
        <w:rPr>
          <w:rFonts w:ascii="Arial" w:eastAsia="Times New Roman" w:hAnsi="Arial" w:cs="Arial"/>
          <w:b/>
        </w:rPr>
      </w:pPr>
      <w:r w:rsidRPr="007E3819">
        <w:rPr>
          <w:rFonts w:ascii="Arial" w:eastAsia="Times New Roman" w:hAnsi="Arial" w:cs="Arial"/>
          <w:b/>
        </w:rPr>
        <w:t xml:space="preserve">CERTIFICATE CONFIRMING APPLICATION OF TRUSTEE APPOINTMENT ACT 1850 and TRUSTEE APPOINTMENT ACT 1890 (the “TRUSTEE APPOINTMENT ACTS”) </w:t>
      </w:r>
    </w:p>
    <w:p w14:paraId="6CF7F03E" w14:textId="77777777" w:rsidR="005A156E" w:rsidRPr="007E3819" w:rsidRDefault="005A156E" w:rsidP="005A156E">
      <w:pPr>
        <w:jc w:val="center"/>
        <w:rPr>
          <w:rFonts w:ascii="Arial" w:eastAsia="Times New Roman" w:hAnsi="Arial" w:cs="Arial"/>
          <w:b/>
        </w:rPr>
      </w:pPr>
      <w:r w:rsidRPr="007E3819">
        <w:rPr>
          <w:rFonts w:ascii="Arial" w:eastAsia="Times New Roman" w:hAnsi="Arial" w:cs="Arial"/>
          <w:b/>
        </w:rPr>
        <w:t>LAND REGISTRY</w:t>
      </w:r>
    </w:p>
    <w:p w14:paraId="7EC86CEF" w14:textId="77777777" w:rsidR="005A156E" w:rsidRPr="007E3819" w:rsidRDefault="005A156E" w:rsidP="005A156E">
      <w:pPr>
        <w:rPr>
          <w:rFonts w:ascii="Arial" w:eastAsia="Times New Roman" w:hAnsi="Arial" w:cs="Arial"/>
          <w:b/>
        </w:rPr>
      </w:pPr>
      <w:r w:rsidRPr="007E3819">
        <w:rPr>
          <w:rFonts w:ascii="Arial" w:eastAsia="Times New Roman" w:hAnsi="Arial" w:cs="Arial"/>
          <w:b/>
        </w:rPr>
        <w:t>FOLIO(S):                                                                      COUNTY:</w:t>
      </w:r>
    </w:p>
    <w:p w14:paraId="6A081B1C" w14:textId="77777777" w:rsidR="005A156E" w:rsidRPr="007E3819" w:rsidRDefault="005A156E" w:rsidP="005A156E">
      <w:pPr>
        <w:rPr>
          <w:rFonts w:ascii="Arial" w:eastAsia="Times New Roman" w:hAnsi="Arial" w:cs="Arial"/>
          <w:b/>
        </w:rPr>
      </w:pPr>
      <w:r w:rsidRPr="007E3819">
        <w:rPr>
          <w:rFonts w:ascii="Arial" w:eastAsia="Times New Roman" w:hAnsi="Arial" w:cs="Arial"/>
          <w:b/>
        </w:rPr>
        <w:t>REGISTERED OWNERS:  AB, CD, EF AND GH</w:t>
      </w:r>
    </w:p>
    <w:p w14:paraId="5404FEFA" w14:textId="77777777" w:rsidR="005A156E" w:rsidRPr="007E3819" w:rsidRDefault="005A156E" w:rsidP="005A156E">
      <w:pPr>
        <w:rPr>
          <w:rFonts w:ascii="Arial" w:eastAsia="Times New Roman" w:hAnsi="Arial" w:cs="Arial"/>
        </w:rPr>
      </w:pPr>
      <w:r w:rsidRPr="007E3819">
        <w:rPr>
          <w:rFonts w:ascii="Arial" w:eastAsia="Times New Roman" w:hAnsi="Arial" w:cs="Arial"/>
        </w:rPr>
        <w:t>I, the undersigned [•] a partner/solicitor in the firm of [•] hereby certify that:</w:t>
      </w:r>
    </w:p>
    <w:p w14:paraId="5EB695AF"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AB, CD EF and GH, the above-named registered owners, hold the lands comprised in the above-mentioned Folio(s) on trust for the congregation of [•] [insert the denomination of Church here] Church (the “</w:t>
      </w:r>
      <w:r w:rsidRPr="007E3819">
        <w:rPr>
          <w:rFonts w:ascii="Arial" w:eastAsia="Times New Roman" w:hAnsi="Arial" w:cs="Arial"/>
          <w:b/>
          <w:bCs/>
        </w:rPr>
        <w:t>Congregation</w:t>
      </w:r>
      <w:r w:rsidRPr="007E3819">
        <w:rPr>
          <w:rFonts w:ascii="Arial" w:eastAsia="Times New Roman" w:hAnsi="Arial" w:cs="Arial"/>
        </w:rPr>
        <w:t>”)</w:t>
      </w:r>
      <w:r w:rsidRPr="007E3819">
        <w:rPr>
          <w:rFonts w:ascii="Arial" w:eastAsia="Times New Roman" w:hAnsi="Arial" w:cs="Arial"/>
          <w:vertAlign w:val="superscript"/>
        </w:rPr>
        <w:footnoteReference w:id="1"/>
      </w:r>
      <w:r w:rsidRPr="007E3819">
        <w:rPr>
          <w:rFonts w:ascii="Arial" w:eastAsia="Times New Roman" w:hAnsi="Arial" w:cs="Arial"/>
        </w:rPr>
        <w:t>.</w:t>
      </w:r>
    </w:p>
    <w:p w14:paraId="1D9944C0"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The Congregation, in accordance with Trustee Appointment Acts, has chosen to appoint new trustees.</w:t>
      </w:r>
    </w:p>
    <w:p w14:paraId="1BEF3BFD"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A Memorandum of Choice and Appointment of New Trustees dated [•] (the “</w:t>
      </w:r>
      <w:r w:rsidRPr="007E3819">
        <w:rPr>
          <w:rFonts w:ascii="Arial" w:eastAsia="Times New Roman" w:hAnsi="Arial" w:cs="Arial"/>
          <w:b/>
          <w:bCs/>
        </w:rPr>
        <w:t>Memorandum</w:t>
      </w:r>
      <w:r w:rsidRPr="007E3819">
        <w:rPr>
          <w:rFonts w:ascii="Arial" w:eastAsia="Times New Roman" w:hAnsi="Arial" w:cs="Arial"/>
        </w:rPr>
        <w:t>”) in respect of the above-mentioned Folio(s) was validly executed pursuant to S1 and Schedule 3 of the Trustee Appointment Act 1850 (the “</w:t>
      </w:r>
      <w:r w:rsidRPr="007E3819">
        <w:rPr>
          <w:rFonts w:ascii="Arial" w:eastAsia="Times New Roman" w:hAnsi="Arial" w:cs="Arial"/>
          <w:b/>
          <w:bCs/>
        </w:rPr>
        <w:t>TA Act</w:t>
      </w:r>
      <w:r w:rsidRPr="007E3819">
        <w:rPr>
          <w:rFonts w:ascii="Arial" w:eastAsia="Times New Roman" w:hAnsi="Arial" w:cs="Arial"/>
        </w:rPr>
        <w:t>”).</w:t>
      </w:r>
    </w:p>
    <w:p w14:paraId="43DD2244"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The Memorandum provides that the following registered owners have retired as trustees:</w:t>
      </w:r>
    </w:p>
    <w:p w14:paraId="15785DE0"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AB; and</w:t>
      </w:r>
    </w:p>
    <w:p w14:paraId="45B625AE"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CD.</w:t>
      </w:r>
    </w:p>
    <w:p w14:paraId="77D04CBD"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 xml:space="preserve">The Memorandum provides that the following registered owners are continuing as trustees: </w:t>
      </w:r>
    </w:p>
    <w:p w14:paraId="0D1CE846"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EF; and</w:t>
      </w:r>
    </w:p>
    <w:p w14:paraId="2907716A"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GH.</w:t>
      </w:r>
    </w:p>
    <w:p w14:paraId="1D96BAE3"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 xml:space="preserve">The Memorandum provides that the following are appointed as new trustees: </w:t>
      </w:r>
    </w:p>
    <w:p w14:paraId="3A8C65F7"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IJ of [•]; and</w:t>
      </w:r>
    </w:p>
    <w:p w14:paraId="373083DB"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KL of [•].</w:t>
      </w:r>
    </w:p>
    <w:p w14:paraId="5B3F3B34"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In accordance with S1 and Schedule 3 of the TA Act, the effect of the valid execution of the Memorandum is to vest all the lands comprised in the above-mentioned Folio(s), without any conveyance or assignment</w:t>
      </w:r>
      <w:r w:rsidRPr="007E3819">
        <w:rPr>
          <w:rFonts w:ascii="Arial" w:eastAsia="Times New Roman" w:hAnsi="Arial" w:cs="Arial"/>
          <w:kern w:val="2"/>
          <w:lang w:val="en-GB"/>
        </w:rPr>
        <w:t xml:space="preserve"> or other deed of assurance,</w:t>
      </w:r>
      <w:r w:rsidRPr="007E3819">
        <w:rPr>
          <w:rFonts w:ascii="Arial" w:eastAsia="Times New Roman" w:hAnsi="Arial" w:cs="Arial"/>
        </w:rPr>
        <w:t xml:space="preserve"> in the following trustees:</w:t>
      </w:r>
    </w:p>
    <w:p w14:paraId="23CF2125"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 xml:space="preserve">EF; </w:t>
      </w:r>
    </w:p>
    <w:p w14:paraId="5C374774"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GH;</w:t>
      </w:r>
    </w:p>
    <w:p w14:paraId="4FBD2420"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IJ and</w:t>
      </w:r>
    </w:p>
    <w:p w14:paraId="261FCA8D" w14:textId="77777777" w:rsidR="005A156E" w:rsidRPr="007E3819" w:rsidRDefault="005A156E" w:rsidP="005A156E">
      <w:pPr>
        <w:numPr>
          <w:ilvl w:val="1"/>
          <w:numId w:val="1"/>
        </w:numPr>
        <w:contextualSpacing/>
        <w:rPr>
          <w:rFonts w:ascii="Arial" w:eastAsia="Times New Roman" w:hAnsi="Arial" w:cs="Arial"/>
        </w:rPr>
      </w:pPr>
      <w:r w:rsidRPr="007E3819">
        <w:rPr>
          <w:rFonts w:ascii="Arial" w:eastAsia="Times New Roman" w:hAnsi="Arial" w:cs="Arial"/>
        </w:rPr>
        <w:t>KL.</w:t>
      </w:r>
    </w:p>
    <w:p w14:paraId="2CAA3E6B" w14:textId="77777777" w:rsidR="005A156E" w:rsidRPr="007E3819" w:rsidRDefault="005A156E" w:rsidP="005A156E">
      <w:pPr>
        <w:numPr>
          <w:ilvl w:val="0"/>
          <w:numId w:val="1"/>
        </w:numPr>
        <w:contextualSpacing/>
        <w:rPr>
          <w:rFonts w:ascii="Arial" w:eastAsia="Times New Roman" w:hAnsi="Arial" w:cs="Arial"/>
        </w:rPr>
      </w:pPr>
      <w:r w:rsidRPr="007E3819">
        <w:rPr>
          <w:rFonts w:ascii="Arial" w:eastAsia="Times New Roman" w:hAnsi="Arial" w:cs="Arial"/>
        </w:rPr>
        <w:t>I request that the ownership of the said AB, CD, EF and GH be cancelled and that the said EF, GH, IJ and KL be registered as full owners of the land in the above-mentioned Folio(s).</w:t>
      </w:r>
    </w:p>
    <w:p w14:paraId="1A295562" w14:textId="77777777" w:rsidR="005A156E" w:rsidRPr="007E3819" w:rsidRDefault="005A156E" w:rsidP="005A156E">
      <w:pPr>
        <w:ind w:left="720"/>
        <w:contextualSpacing/>
        <w:rPr>
          <w:rFonts w:ascii="Arial" w:eastAsia="Times New Roman" w:hAnsi="Arial" w:cs="Arial"/>
        </w:rPr>
      </w:pPr>
    </w:p>
    <w:p w14:paraId="3EBD4128" w14:textId="77777777" w:rsidR="005A156E" w:rsidRDefault="005A156E" w:rsidP="005A156E">
      <w:pPr>
        <w:rPr>
          <w:rFonts w:ascii="Arial" w:eastAsia="Times New Roman" w:hAnsi="Arial" w:cs="Arial"/>
        </w:rPr>
      </w:pPr>
      <w:r w:rsidRPr="007E3819">
        <w:rPr>
          <w:rFonts w:ascii="Arial" w:eastAsia="Times New Roman" w:hAnsi="Arial" w:cs="Arial"/>
        </w:rPr>
        <w:t>Dated:</w:t>
      </w:r>
    </w:p>
    <w:p w14:paraId="7D7969FA" w14:textId="77777777" w:rsidR="005A156E" w:rsidRPr="007E3819" w:rsidRDefault="005A156E" w:rsidP="005A156E">
      <w:pPr>
        <w:rPr>
          <w:rFonts w:ascii="Arial" w:eastAsia="Times New Roman" w:hAnsi="Arial" w:cs="Arial"/>
        </w:rPr>
      </w:pPr>
      <w:r w:rsidRPr="007E3819">
        <w:rPr>
          <w:rFonts w:ascii="Arial" w:eastAsia="Times New Roman" w:hAnsi="Arial" w:cs="Arial"/>
        </w:rPr>
        <w:t>Signed:</w:t>
      </w:r>
    </w:p>
    <w:p w14:paraId="4771D608" w14:textId="77777777" w:rsidR="00000C9C" w:rsidRDefault="00000C9C"/>
    <w:sectPr w:rsidR="00000C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ED1A1" w14:textId="77777777" w:rsidR="00975822" w:rsidRDefault="00975822" w:rsidP="005A156E">
      <w:pPr>
        <w:spacing w:after="0" w:line="240" w:lineRule="auto"/>
      </w:pPr>
      <w:r>
        <w:separator/>
      </w:r>
    </w:p>
  </w:endnote>
  <w:endnote w:type="continuationSeparator" w:id="0">
    <w:p w14:paraId="6AE13C50" w14:textId="77777777" w:rsidR="00975822" w:rsidRDefault="00975822" w:rsidP="005A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00F6" w14:textId="77777777" w:rsidR="00975822" w:rsidRDefault="00975822" w:rsidP="005A156E">
      <w:pPr>
        <w:spacing w:after="0" w:line="240" w:lineRule="auto"/>
      </w:pPr>
      <w:r>
        <w:separator/>
      </w:r>
    </w:p>
  </w:footnote>
  <w:footnote w:type="continuationSeparator" w:id="0">
    <w:p w14:paraId="610358F0" w14:textId="77777777" w:rsidR="00975822" w:rsidRDefault="00975822" w:rsidP="005A156E">
      <w:pPr>
        <w:spacing w:after="0" w:line="240" w:lineRule="auto"/>
      </w:pPr>
      <w:r>
        <w:continuationSeparator/>
      </w:r>
    </w:p>
  </w:footnote>
  <w:footnote w:id="1">
    <w:p w14:paraId="35E3A2D8" w14:textId="77777777" w:rsidR="005A156E" w:rsidRDefault="005A156E" w:rsidP="005A156E">
      <w:pPr>
        <w:pStyle w:val="FootnoteText"/>
      </w:pPr>
      <w:r>
        <w:rPr>
          <w:rStyle w:val="FootnoteReference"/>
          <w:rFonts w:eastAsiaTheme="majorEastAsia"/>
        </w:rPr>
        <w:footnoteRef/>
      </w:r>
      <w:r>
        <w:t xml:space="preserve"> </w:t>
      </w:r>
      <w:r w:rsidRPr="00E61F7D">
        <w:t>The TA Acts apply to land acquired by trustees in connection with any society or body of persons comprising several congregations or other sections or divisions or component parts associated together for any religious purpose.  A certifying solicitor may provide alternative wording in paragraph 1 to reflect the appropriate entity to whom the TA Acts apply</w:t>
      </w:r>
      <w:r>
        <w:t xml:space="preserve"> in their application</w:t>
      </w:r>
      <w:r w:rsidRPr="00E61F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B806" w14:textId="48DF1167" w:rsidR="005A156E" w:rsidRPr="005A156E" w:rsidRDefault="005A156E">
    <w:pPr>
      <w:pStyle w:val="Header"/>
      <w:rPr>
        <w:b/>
        <w:bCs/>
      </w:rPr>
    </w:pPr>
    <w:r w:rsidRPr="005A156E">
      <w:rPr>
        <w:b/>
        <w:bCs/>
      </w:rPr>
      <w:t>ANNEX 4</w:t>
    </w:r>
  </w:p>
  <w:p w14:paraId="5EE7A3E4" w14:textId="77777777" w:rsidR="005A156E" w:rsidRDefault="005A1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778BD"/>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1811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6E"/>
    <w:rsid w:val="00000C9C"/>
    <w:rsid w:val="0005223A"/>
    <w:rsid w:val="004A3336"/>
    <w:rsid w:val="005A156E"/>
    <w:rsid w:val="00735A25"/>
    <w:rsid w:val="00975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6E"/>
    <w:rPr>
      <w:kern w:val="0"/>
      <w:lang w:val="en-US"/>
      <w14:ligatures w14:val="none"/>
    </w:rPr>
  </w:style>
  <w:style w:type="paragraph" w:styleId="Heading1">
    <w:name w:val="heading 1"/>
    <w:basedOn w:val="Normal"/>
    <w:next w:val="Normal"/>
    <w:link w:val="Heading1Char"/>
    <w:uiPriority w:val="9"/>
    <w:qFormat/>
    <w:rsid w:val="005A1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1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1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1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1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1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1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1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1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1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1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56E"/>
    <w:rPr>
      <w:rFonts w:eastAsiaTheme="majorEastAsia" w:cstheme="majorBidi"/>
      <w:color w:val="272727" w:themeColor="text1" w:themeTint="D8"/>
    </w:rPr>
  </w:style>
  <w:style w:type="paragraph" w:styleId="Title">
    <w:name w:val="Title"/>
    <w:basedOn w:val="Normal"/>
    <w:next w:val="Normal"/>
    <w:link w:val="TitleChar"/>
    <w:uiPriority w:val="10"/>
    <w:qFormat/>
    <w:rsid w:val="005A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56E"/>
    <w:pPr>
      <w:spacing w:before="160"/>
      <w:jc w:val="center"/>
    </w:pPr>
    <w:rPr>
      <w:i/>
      <w:iCs/>
      <w:color w:val="404040" w:themeColor="text1" w:themeTint="BF"/>
    </w:rPr>
  </w:style>
  <w:style w:type="character" w:customStyle="1" w:styleId="QuoteChar">
    <w:name w:val="Quote Char"/>
    <w:basedOn w:val="DefaultParagraphFont"/>
    <w:link w:val="Quote"/>
    <w:uiPriority w:val="29"/>
    <w:rsid w:val="005A156E"/>
    <w:rPr>
      <w:i/>
      <w:iCs/>
      <w:color w:val="404040" w:themeColor="text1" w:themeTint="BF"/>
    </w:rPr>
  </w:style>
  <w:style w:type="paragraph" w:styleId="ListParagraph">
    <w:name w:val="List Paragraph"/>
    <w:basedOn w:val="Normal"/>
    <w:uiPriority w:val="34"/>
    <w:qFormat/>
    <w:rsid w:val="005A156E"/>
    <w:pPr>
      <w:ind w:left="720"/>
      <w:contextualSpacing/>
    </w:pPr>
  </w:style>
  <w:style w:type="character" w:styleId="IntenseEmphasis">
    <w:name w:val="Intense Emphasis"/>
    <w:basedOn w:val="DefaultParagraphFont"/>
    <w:uiPriority w:val="21"/>
    <w:qFormat/>
    <w:rsid w:val="005A156E"/>
    <w:rPr>
      <w:i/>
      <w:iCs/>
      <w:color w:val="0F4761" w:themeColor="accent1" w:themeShade="BF"/>
    </w:rPr>
  </w:style>
  <w:style w:type="paragraph" w:styleId="IntenseQuote">
    <w:name w:val="Intense Quote"/>
    <w:basedOn w:val="Normal"/>
    <w:next w:val="Normal"/>
    <w:link w:val="IntenseQuoteChar"/>
    <w:uiPriority w:val="30"/>
    <w:qFormat/>
    <w:rsid w:val="005A1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156E"/>
    <w:rPr>
      <w:i/>
      <w:iCs/>
      <w:color w:val="0F4761" w:themeColor="accent1" w:themeShade="BF"/>
    </w:rPr>
  </w:style>
  <w:style w:type="character" w:styleId="IntenseReference">
    <w:name w:val="Intense Reference"/>
    <w:basedOn w:val="DefaultParagraphFont"/>
    <w:uiPriority w:val="32"/>
    <w:qFormat/>
    <w:rsid w:val="005A156E"/>
    <w:rPr>
      <w:b/>
      <w:bCs/>
      <w:smallCaps/>
      <w:color w:val="0F4761" w:themeColor="accent1" w:themeShade="BF"/>
      <w:spacing w:val="5"/>
    </w:rPr>
  </w:style>
  <w:style w:type="paragraph" w:styleId="FootnoteText">
    <w:name w:val="footnote text"/>
    <w:basedOn w:val="Normal"/>
    <w:link w:val="FootnoteTextChar"/>
    <w:uiPriority w:val="99"/>
    <w:semiHidden/>
    <w:unhideWhenUsed/>
    <w:rsid w:val="005A156E"/>
    <w:pPr>
      <w:spacing w:after="0" w:line="240" w:lineRule="auto"/>
    </w:pPr>
    <w:rPr>
      <w:rFonts w:eastAsia="Times New Roman" w:cs="Times New Roman"/>
      <w:kern w:val="2"/>
      <w:sz w:val="20"/>
      <w:szCs w:val="20"/>
      <w:lang w:val="en-GB"/>
    </w:rPr>
  </w:style>
  <w:style w:type="character" w:customStyle="1" w:styleId="FootnoteTextChar">
    <w:name w:val="Footnote Text Char"/>
    <w:basedOn w:val="DefaultParagraphFont"/>
    <w:link w:val="FootnoteText"/>
    <w:uiPriority w:val="99"/>
    <w:semiHidden/>
    <w:rsid w:val="005A156E"/>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5A156E"/>
    <w:rPr>
      <w:rFonts w:cs="Times New Roman"/>
      <w:vertAlign w:val="superscript"/>
    </w:rPr>
  </w:style>
  <w:style w:type="paragraph" w:styleId="Header">
    <w:name w:val="header"/>
    <w:basedOn w:val="Normal"/>
    <w:link w:val="HeaderChar"/>
    <w:uiPriority w:val="99"/>
    <w:unhideWhenUsed/>
    <w:rsid w:val="005A1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56E"/>
    <w:rPr>
      <w:kern w:val="0"/>
      <w:lang w:val="en-US"/>
      <w14:ligatures w14:val="none"/>
    </w:rPr>
  </w:style>
  <w:style w:type="paragraph" w:styleId="Footer">
    <w:name w:val="footer"/>
    <w:basedOn w:val="Normal"/>
    <w:link w:val="FooterChar"/>
    <w:uiPriority w:val="99"/>
    <w:unhideWhenUsed/>
    <w:rsid w:val="005A15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56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1398</Characters>
  <Application>Microsoft Office Word</Application>
  <DocSecurity>0</DocSecurity>
  <Lines>39</Lines>
  <Paragraphs>30</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2024-10-14T09:23:00Z</dcterms:created>
  <dcterms:modified xsi:type="dcterms:W3CDTF">2024-10-14T09:23:00Z</dcterms:modified>
</cp:coreProperties>
</file>